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D7DD4">
        <w:rPr>
          <w:rFonts w:ascii="Calibri" w:eastAsia="Times New Roman" w:hAnsi="Calibri" w:cs="Times New Roman"/>
          <w:noProof/>
          <w:sz w:val="24"/>
          <w:szCs w:val="24"/>
          <w:lang w:eastAsia="ru-RU"/>
        </w:rPr>
        <w:drawing>
          <wp:inline distT="0" distB="0" distL="0" distR="0">
            <wp:extent cx="971550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contrast="4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D7DD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Российская Федерация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Новгородская область Старорусский район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АДМИНИСТРАЦИЯ ЗАЛУЧСКОГО СЕЛЬСКОГО ПОСЕЛЕНИЯ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FD7DD4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П О С Т А Н О В Л Е Н И Е</w:t>
      </w:r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proofErr w:type="gramEnd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58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 </w:t>
      </w:r>
      <w:r w:rsidR="00172D3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</w:t>
      </w:r>
    </w:p>
    <w:p w:rsidR="00FD7DD4" w:rsidRPr="00FD7DD4" w:rsidRDefault="00FD7DD4" w:rsidP="00FD7D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D7DD4">
        <w:rPr>
          <w:rFonts w:ascii="Times New Roman" w:eastAsia="Times New Roman" w:hAnsi="Times New Roman" w:cs="Times New Roman"/>
          <w:sz w:val="28"/>
          <w:szCs w:val="28"/>
          <w:lang w:eastAsia="ru-RU"/>
        </w:rPr>
        <w:t>с.Залучье</w:t>
      </w:r>
      <w:proofErr w:type="spellEnd"/>
    </w:p>
    <w:p w:rsidR="00FD7DD4" w:rsidRPr="00FD7DD4" w:rsidRDefault="00FD7DD4" w:rsidP="00FD7DD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3374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483"/>
        <w:gridCol w:w="3891"/>
      </w:tblGrid>
      <w:tr w:rsidR="00884C78" w:rsidRPr="00512ED0" w:rsidTr="00FD7DD4">
        <w:tc>
          <w:tcPr>
            <w:tcW w:w="94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F81D7D">
            <w:pPr>
              <w:spacing w:before="195" w:after="195" w:line="341" w:lineRule="atLeast"/>
              <w:ind w:right="142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сельского поселения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Старорусского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муниципального района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Новгородской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области на 202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5 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год</w:t>
            </w:r>
          </w:p>
        </w:tc>
        <w:tc>
          <w:tcPr>
            <w:tcW w:w="3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512ED0" w:rsidRDefault="00884C78" w:rsidP="00884C78">
      <w:pPr>
        <w:spacing w:before="195" w:after="0" w:line="240" w:lineRule="atLeast"/>
        <w:ind w:firstLine="748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соответствии со статьей 44 Федерального закона от 31.07.2020 № 248-ФЗ "О государственном контроле (надзоре) и муниципальном контроле в Российской Федерации", Федеральным законом от 06.10.2003 № 131-ФЗ "Об общих принципах организации местного самоуправления в Российской Федерации", Постановлением Правительства Российской Федерации от 25.06.2021 № 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ценностям", руководствуясь Уставом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Старорусского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Новгородской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области, администрация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</w:t>
      </w:r>
    </w:p>
    <w:p w:rsidR="00884C78" w:rsidRPr="00512ED0" w:rsidRDefault="00884C78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ПОСТАНОВЛЯЕТ: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Утвердить прилагаемую Программу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Залуч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Старорус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Новгород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ской области на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884C78" w:rsidRPr="00512ED0" w:rsidRDefault="00884C78" w:rsidP="00884C78">
      <w:pPr>
        <w:spacing w:before="195" w:after="0" w:line="240" w:lineRule="atLeast"/>
        <w:ind w:firstLine="70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Контроль за исполнением настоящего постановления оставляю за собой.</w:t>
      </w:r>
    </w:p>
    <w:p w:rsidR="00884C78" w:rsidRPr="00512ED0" w:rsidRDefault="00884C78" w:rsidP="00884C78">
      <w:pPr>
        <w:spacing w:before="195" w:after="0" w:line="240" w:lineRule="atLeast"/>
        <w:ind w:left="-425" w:firstLine="1134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Настоящее постановление вступает в силу с 1 января 202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512E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</w:t>
      </w:r>
    </w:p>
    <w:tbl>
      <w:tblPr>
        <w:tblW w:w="9341" w:type="dxa"/>
        <w:tblInd w:w="1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6776"/>
        <w:gridCol w:w="2565"/>
      </w:tblGrid>
      <w:tr w:rsidR="00884C78" w:rsidRPr="00512ED0" w:rsidTr="00FD7DD4">
        <w:tc>
          <w:tcPr>
            <w:tcW w:w="67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884C78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Глава </w:t>
            </w:r>
            <w:r w:rsidR="00C94315"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Залуч</w:t>
            </w: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ского сельского поселения</w:t>
            </w:r>
          </w:p>
          <w:p w:rsidR="00884C78" w:rsidRPr="00512ED0" w:rsidRDefault="00C94315" w:rsidP="00884C78">
            <w:pPr>
              <w:spacing w:before="195" w:after="0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  <w:p w:rsidR="00884C78" w:rsidRPr="00512ED0" w:rsidRDefault="00C94315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5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512ED0" w:rsidRDefault="00C94315" w:rsidP="00884C78">
            <w:pPr>
              <w:spacing w:before="195" w:after="0" w:line="341" w:lineRule="atLeast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Е.Н.Пятина</w:t>
            </w:r>
          </w:p>
          <w:p w:rsidR="00884C78" w:rsidRPr="00512ED0" w:rsidRDefault="00884C78" w:rsidP="00884C78">
            <w:pPr>
              <w:spacing w:before="195" w:after="19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12ED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884C78" w:rsidRPr="003044FC" w:rsidRDefault="00884C78" w:rsidP="00884C78">
      <w:pPr>
        <w:spacing w:after="0" w:line="420" w:lineRule="atLeast"/>
        <w:jc w:val="center"/>
        <w:textAlignment w:val="top"/>
        <w:rPr>
          <w:rFonts w:ascii="Times New Roman" w:eastAsia="Times New Roman" w:hAnsi="Times New Roman" w:cs="Times New Roman"/>
          <w:vanish/>
          <w:color w:val="303F50"/>
          <w:sz w:val="28"/>
          <w:szCs w:val="28"/>
          <w:lang w:eastAsia="ru-RU"/>
        </w:rPr>
      </w:pPr>
    </w:p>
    <w:tbl>
      <w:tblPr>
        <w:tblW w:w="958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762"/>
        <w:gridCol w:w="4821"/>
      </w:tblGrid>
      <w:tr w:rsidR="00884C78" w:rsidRPr="003044FC" w:rsidTr="00FD7DD4">
        <w:trPr>
          <w:trHeight w:val="2670"/>
          <w:jc w:val="center"/>
        </w:trPr>
        <w:tc>
          <w:tcPr>
            <w:tcW w:w="4762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84C78" w:rsidRPr="003044FC" w:rsidRDefault="00884C78" w:rsidP="00884C78">
            <w:pPr>
              <w:spacing w:before="15" w:after="15" w:line="341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821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D7DD4" w:rsidRDefault="00FD7DD4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F312A3" w:rsidRDefault="00F312A3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884C78" w:rsidRPr="003044FC" w:rsidRDefault="00CF177B" w:rsidP="00FD7DD4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Утверждена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постановлени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ем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="00884C78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  <w:p w:rsidR="00884C78" w:rsidRPr="003044FC" w:rsidRDefault="00884C78" w:rsidP="00172D30">
            <w:pPr>
              <w:spacing w:before="195" w:after="0" w:line="341" w:lineRule="atLeast"/>
              <w:ind w:left="59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от </w:t>
            </w:r>
            <w:r w:rsidR="00CF177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года</w:t>
            </w:r>
            <w:proofErr w:type="gramEnd"/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</w:t>
            </w:r>
            <w:r w:rsidR="0031584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172D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ПРОЕКТ</w:t>
            </w:r>
          </w:p>
        </w:tc>
      </w:tr>
    </w:tbl>
    <w:p w:rsidR="00884C78" w:rsidRPr="003044FC" w:rsidRDefault="00884C78" w:rsidP="00884C78">
      <w:p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Залуч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сельского поселения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Старорус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ского муниципального района </w:t>
      </w:r>
      <w:r w:rsidR="00C94315"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Новгород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ской области на 202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5 </w:t>
      </w:r>
      <w:r w:rsidRPr="003044F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год</w:t>
      </w:r>
    </w:p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312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</w:t>
      </w:r>
    </w:p>
    <w:p w:rsidR="00F312A3" w:rsidRPr="00F312A3" w:rsidRDefault="00F312A3" w:rsidP="00F312A3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"/>
        <w:tblW w:w="9351" w:type="dxa"/>
        <w:tblLook w:val="04A0" w:firstRow="1" w:lastRow="0" w:firstColumn="1" w:lastColumn="0" w:noHBand="0" w:noVBand="1"/>
      </w:tblPr>
      <w:tblGrid>
        <w:gridCol w:w="2972"/>
        <w:gridCol w:w="6379"/>
      </w:tblGrid>
      <w:tr w:rsidR="00F312A3" w:rsidRPr="00F312A3" w:rsidTr="003A3D68">
        <w:trPr>
          <w:trHeight w:val="775"/>
        </w:trPr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Наименование программы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eastAsia="Calibri" w:hAnsi="Times New Roman" w:cs="Times New Roman"/>
              </w:rPr>
              <w:t>Программа профилактики рисков причинения вреда (ущерба) охраняемым законом в рамках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      </w:r>
            <w:r>
              <w:rPr>
                <w:rFonts w:ascii="Times New Roman" w:eastAsia="Calibri" w:hAnsi="Times New Roman" w:cs="Times New Roman"/>
              </w:rPr>
              <w:t xml:space="preserve">5</w:t>
            </w:r>
            <w:r w:rsidRPr="00F312A3">
              <w:rPr>
                <w:rFonts w:ascii="Times New Roman" w:eastAsia="Calibri" w:hAnsi="Times New Roman" w:cs="Times New Roman"/>
              </w:rPr>
              <w:t xml:space="preserve"> год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Федеральный закон от 31.07.2020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lang w:eastAsia="ar-SA"/>
              </w:rPr>
            </w:pPr>
            <w:proofErr w:type="gramStart"/>
            <w:r w:rsidRPr="00F312A3">
              <w:rPr>
                <w:rFonts w:ascii="Times New Roman" w:hAnsi="Times New Roman" w:cs="Times New Roman"/>
                <w:lang w:eastAsia="ar-SA"/>
              </w:rPr>
              <w:t>постановление</w:t>
            </w:r>
            <w:proofErr w:type="gramEnd"/>
            <w:r w:rsidRPr="00F312A3">
              <w:rPr>
                <w:rFonts w:ascii="Times New Roman" w:hAnsi="Times New Roman" w:cs="Times New Roman"/>
                <w:lang w:eastAsia="ar-SA"/>
              </w:rPr>
              <w:t xml:space="preserve"> Правительства Российской Федерации от 25.06.2021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  <w:i/>
                <w:lang w:eastAsia="ar-SA"/>
              </w:rPr>
            </w:pPr>
          </w:p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color w:val="000000"/>
              </w:rPr>
              <w:t>Положение 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Администрация Залучского сельского поселения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Цели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предотвращение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предупреждение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нарушений обязательных требований (снижение числа нарушений обязательных требований)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стимулирование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добросовестного соблюдения обязательных требований всеми контролируемыми лицами;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устранение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F312A3" w:rsidRPr="00F312A3" w:rsidRDefault="00F312A3" w:rsidP="00F312A3">
            <w:pPr>
              <w:numPr>
                <w:ilvl w:val="0"/>
                <w:numId w:val="6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contextualSpacing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Задачи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выявление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формирование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одинакового понимания обязательных требований у всех участников при осуществлении муниципального контроля в области автомобильных дорог и дорожной деятельности, установленных в отношении автомобильных дорог местного значения Залучского сельского поселения;</w:t>
            </w:r>
            <w:r w:rsidRPr="00F312A3">
              <w:rPr>
                <w:rFonts w:ascii="Times New Roman" w:hAnsi="Times New Roman" w:cs="Times New Roman"/>
                <w:i/>
              </w:rPr>
              <w:t xml:space="preserve"> 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укрепление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системы профилактики нарушений обязательных требований путем активизации профилактической деятельности;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создание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внедрение мер системы позитивной профилактики;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повышение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инвентаризация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 оценка состава и особенностей подконтрольных субъектов и оценки состояния подконтрольной сферы;</w:t>
            </w:r>
          </w:p>
          <w:p w:rsidR="00F312A3" w:rsidRPr="00F312A3" w:rsidRDefault="00F312A3" w:rsidP="00F312A3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ind w:left="0" w:firstLine="176"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установление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7"/>
              </w:numPr>
              <w:autoSpaceDE w:val="0"/>
              <w:autoSpaceDN w:val="0"/>
              <w:spacing w:line="276" w:lineRule="auto"/>
              <w:ind w:left="0" w:firstLine="176"/>
              <w:rPr>
                <w:rFonts w:ascii="Times New Roman" w:hAnsi="Times New Roman" w:cs="Times New Roman"/>
              </w:rPr>
            </w:pPr>
            <w:proofErr w:type="gramStart"/>
            <w:r w:rsidRPr="00F312A3">
              <w:rPr>
                <w:rFonts w:ascii="Times New Roman" w:hAnsi="Times New Roman" w:cs="Times New Roman"/>
              </w:rPr>
              <w:t>снижение</w:t>
            </w:r>
            <w:proofErr w:type="gramEnd"/>
            <w:r w:rsidRPr="00F312A3">
              <w:rPr>
                <w:rFonts w:ascii="Times New Roman" w:hAnsi="Times New Roman" w:cs="Times New Roman"/>
              </w:rPr>
              <w:t xml:space="preserve"> издержек контрольно-надзорной деятельности и административной нагрузки на подконтрольные субъекты.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Снижение рисков причинения вреда охраняемым законом ценностям;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Увеличение доли законопослушных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 xml:space="preserve">Внедрение новых видов профилактических мероприятий, предусмотренных </w:t>
            </w:r>
            <w:r w:rsidRPr="00F312A3">
              <w:rPr>
                <w:rFonts w:ascii="Times New Roman" w:hAnsi="Times New Roman" w:cs="Times New Roman"/>
                <w:lang w:eastAsia="ar-SA"/>
              </w:rPr>
              <w:t xml:space="preserve">Федеральным законом № 248-ФЗ и </w:t>
            </w:r>
            <w:r w:rsidRPr="00F312A3">
              <w:rPr>
                <w:rFonts w:ascii="Times New Roman" w:hAnsi="Times New Roman" w:cs="Times New Roman"/>
                <w:color w:val="000000"/>
              </w:rPr>
              <w:t xml:space="preserve">Положением </w:t>
            </w:r>
            <w:r w:rsidRPr="00F312A3">
              <w:rPr>
                <w:rFonts w:ascii="Times New Roman" w:hAnsi="Times New Roman" w:cs="Times New Roman"/>
                <w:bCs/>
              </w:rPr>
              <w:t>о муниципальном контроле на автомобильном транспорте, городском наземном электрическом транспорте и в дорожном хозяйстве на территории Залучского сельского поселения</w:t>
            </w:r>
            <w:r w:rsidRPr="00F312A3">
              <w:rPr>
                <w:rFonts w:ascii="Times New Roman" w:hAnsi="Times New Roman" w:cs="Times New Roman"/>
              </w:rPr>
              <w:t>, утверждённое Решением Совета депутатов Залучского сельского поселения от 29.10.2021 года №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312A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1</w:t>
            </w:r>
            <w:r w:rsidR="00172D30">
              <w:rPr>
                <w:rFonts w:ascii="Times New Roman" w:hAnsi="Times New Roman" w:cs="Times New Roman"/>
              </w:rPr>
              <w:t xml:space="preserve"> (в ред. от 24.12.2021 № 65)</w:t>
            </w:r>
            <w:r w:rsidRPr="00F312A3">
              <w:rPr>
                <w:rFonts w:ascii="Times New Roman" w:hAnsi="Times New Roman" w:cs="Times New Roman"/>
                <w:lang w:eastAsia="ar-SA"/>
              </w:rPr>
              <w:t>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Уменьшение административной нагрузки на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Повышение уровня правовой грамотности контролируемых лиц;</w:t>
            </w:r>
          </w:p>
          <w:p w:rsidR="00F312A3" w:rsidRPr="00F312A3" w:rsidRDefault="00F312A3" w:rsidP="00F312A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spacing w:line="276" w:lineRule="auto"/>
              <w:ind w:left="34" w:firstLine="142"/>
              <w:jc w:val="both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F312A3" w:rsidRPr="00F312A3" w:rsidTr="003A3D68">
        <w:tc>
          <w:tcPr>
            <w:tcW w:w="2972" w:type="dxa"/>
          </w:tcPr>
          <w:p w:rsidR="00F312A3" w:rsidRPr="00F312A3" w:rsidRDefault="00F312A3" w:rsidP="00F312A3">
            <w:pPr>
              <w:widowControl w:val="0"/>
              <w:autoSpaceDE w:val="0"/>
              <w:autoSpaceDN w:val="0"/>
              <w:spacing w:line="276" w:lineRule="auto"/>
              <w:rPr>
                <w:rFonts w:ascii="Times New Roman" w:hAnsi="Times New Roman" w:cs="Times New Roman"/>
                <w:lang w:val="en-US"/>
              </w:rPr>
            </w:pPr>
            <w:r w:rsidRPr="00F312A3">
              <w:rPr>
                <w:rFonts w:ascii="Times New Roman" w:hAnsi="Times New Roman" w:cs="Times New Roman"/>
              </w:rPr>
              <w:t>Сроки реализации программы профилактики</w:t>
            </w:r>
          </w:p>
        </w:tc>
        <w:tc>
          <w:tcPr>
            <w:tcW w:w="6379" w:type="dxa"/>
          </w:tcPr>
          <w:p w:rsidR="00F312A3" w:rsidRPr="00F312A3" w:rsidRDefault="00F312A3" w:rsidP="00F81D7D">
            <w:pPr>
              <w:widowControl w:val="0"/>
              <w:autoSpaceDE w:val="0"/>
              <w:autoSpaceDN w:val="0"/>
              <w:spacing w:line="276" w:lineRule="auto"/>
              <w:ind w:left="252"/>
              <w:rPr>
                <w:rFonts w:ascii="Times New Roman" w:hAnsi="Times New Roman" w:cs="Times New Roman"/>
              </w:rPr>
            </w:pPr>
            <w:r w:rsidRPr="00F312A3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 xml:space="preserve">5 </w:t>
            </w:r>
            <w:r w:rsidRPr="00F312A3">
              <w:rPr>
                <w:rFonts w:ascii="Times New Roman" w:hAnsi="Times New Roman" w:cs="Times New Roman"/>
              </w:rPr>
              <w:t xml:space="preserve">год</w:t>
            </w:r>
          </w:p>
        </w:tc>
      </w:tr>
    </w:tbl>
    <w:p w:rsidR="00F312A3" w:rsidRDefault="00F312A3" w:rsidP="00FD7DD4">
      <w:pPr>
        <w:spacing w:before="195" w:after="0" w:line="240" w:lineRule="atLeast"/>
        <w:ind w:firstLine="709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84C78" w:rsidRPr="000C1797" w:rsidRDefault="000C1797" w:rsidP="000C1797">
      <w:pPr>
        <w:pStyle w:val="ac"/>
        <w:numPr>
          <w:ilvl w:val="0"/>
          <w:numId w:val="8"/>
        </w:num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Анализ текущего состояния осуществления вида контроля, описание текущего развития профилактической деятельности контрольного (надзорного) органа, характеристика проблем, на решение которых направлена программа профилактики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Программа профилактики рисков причинения вреда (ущерба) охраняемым законом ценностям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на 202</w:t>
      </w:r>
      <w:r w:rsidR="00172D30">
        <w:rPr>
          <w:szCs w:val="28"/>
        </w:rPr>
        <w:t>3</w:t>
      </w:r>
      <w:r>
        <w:rPr>
          <w:szCs w:val="28"/>
        </w:rPr>
        <w:t xml:space="preserve"> год, разработана соответствии с Федеральным законом от 31 июля 2020 г. № 248-ФЗ «О государственном контроле (надзоре) и муниципальном контроле в Российской Федерации», Федеральным законом от 6 октября 2003 года № 131-ФЗ «Об общих принципах организации местного самоуправления в Российской Федерации», Постановлением Правительства Российской Федерации от 25 июня 2021 года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законам ценностям».</w:t>
      </w:r>
    </w:p>
    <w:p w:rsidR="008F740E" w:rsidRPr="008F740E" w:rsidRDefault="008F740E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Программа профилактики рисков причинения вреда (ущерба) охраняемым законом ценностям (далее-Программа),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на территории Залучского сельского поселения.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Мероприятия по профилактике рисков причинения вреда (ущерба) охраняемым законом ценностям по муниципальному контролю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осуществляются должностными лицами по осуществлению муниципального контроля на автомобильном транспорте, городском наземном электрическом транспорте и в дорожном хозяйстве.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хозяйстве,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профилактикой рисков причинения вреда (ущерба) охраняемым законом ценностям понимается осуществление с целью предотвращения таких рисков деятельность должностных лиц администрации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по реализации мер организационного, информационного, правового, социального и иного характера, направленных на просвещение контролируемых лиц и иных заинтересованных лиц по вопросам содержания и порядка применения требований Положения о муниципальном контроле на автомобильном транспорте, городском наземном электрическом транспорте и в дорожном хозяйстве, а также стимулирование добросовестного и правомерного поведения контролируемых лиц.</w:t>
      </w:r>
    </w:p>
    <w:p w:rsidR="00BD40CD" w:rsidRP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Под контролируемыми лицами понимаются граждане, индивидуальные предприниматели и организации, деятельность, действия или результаты деятельности, которых должны отвечать </w:t>
      </w:r>
      <w:r w:rsidRPr="00BD40CD">
        <w:rPr>
          <w:szCs w:val="28"/>
        </w:rPr>
        <w:t>обязательным требованиям</w:t>
      </w:r>
      <w:r>
        <w:rPr>
          <w:szCs w:val="28"/>
        </w:rPr>
        <w:t xml:space="preserve"> в области автомобильных дорог и дорожной деятельности, установленных в отношении автомобильных дорог местного значения: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За текущий период 202</w:t>
      </w:r>
      <w:r>
        <w:rPr>
          <w:szCs w:val="28"/>
        </w:rPr>
        <w:t xml:space="preserve">4</w:t>
      </w:r>
      <w:r>
        <w:rPr>
          <w:szCs w:val="28"/>
        </w:rPr>
        <w:t xml:space="preserve"> года в рамках муниципального контроля на автомобильном транспорте, городском наземном электрическом транспорте и в дорожном хозяйстве, плановые и внеплановые проверки, мероприятия по контролю без взаимодействия с контролируемыми лицами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 не производились.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Эксперты и представители экспертных организаций к проведению проверок не привлекались.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Предостережения о недопустимости нарушений обязательных требований при осуществлении муниципального контроля на автомобильном транспорте, городском наземном электрическом транспорте и в дорожном хозяйстве, контролируемым лицам не выдавались.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BD40CD" w:rsidRDefault="00BD40CD" w:rsidP="00BD40CD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К основным проблемам в сфере муниципального контроля на автомобильном транспорте, городском наземном электрическом транспорте и в дорожном хозяйстве на территории </w:t>
      </w:r>
      <w:r w:rsidR="008F740E">
        <w:rPr>
          <w:szCs w:val="28"/>
        </w:rPr>
        <w:t>Залучского</w:t>
      </w:r>
      <w:r>
        <w:rPr>
          <w:szCs w:val="28"/>
        </w:rPr>
        <w:t xml:space="preserve"> сельского поселения, на решение которых направлена Программа, относится: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перевозке пассажиров и грузов для собственных нужд (за исключением деятельности, осуществляемой юридическими лицами и индивидуальными предпринимателями, а также подлежащей лицензированию); </w:t>
      </w:r>
    </w:p>
    <w:p w:rsid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 xml:space="preserve">- деятельность по осуществлению работ по капитальному ремонту, ремонту и содержанию автомобильных дорог общего пользования местного значения; </w:t>
      </w:r>
    </w:p>
    <w:p w:rsidR="00BD40CD" w:rsidRPr="00BD40CD" w:rsidRDefault="00BD40CD" w:rsidP="00BD40CD">
      <w:pPr>
        <w:pStyle w:val="ConsPlusNormal"/>
        <w:ind w:left="176"/>
        <w:jc w:val="both"/>
        <w:rPr>
          <w:szCs w:val="28"/>
        </w:rPr>
      </w:pPr>
      <w:r>
        <w:rPr>
          <w:szCs w:val="28"/>
        </w:rPr>
        <w:t>- деятельность по использованию полос отвода и (или) придорожных полос автомобильных дорог общего пользования местного значения.</w:t>
      </w:r>
    </w:p>
    <w:p w:rsidR="00BD40CD" w:rsidRDefault="00BD40CD" w:rsidP="008F740E">
      <w:pPr>
        <w:pStyle w:val="ConsPlusNormal"/>
        <w:ind w:firstLine="567"/>
        <w:jc w:val="both"/>
        <w:rPr>
          <w:szCs w:val="28"/>
        </w:rPr>
      </w:pPr>
      <w:r>
        <w:rPr>
          <w:szCs w:val="28"/>
        </w:rPr>
        <w:t xml:space="preserve">Ожидаемые конечные результаты реализации программы профилактики: 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снижение рисков причинения вреда охраняемым законом ценностям;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>-  увеличение доли законопослушных контролируемых лиц;</w:t>
      </w:r>
    </w:p>
    <w:p w:rsidR="00BD40CD" w:rsidRDefault="00BD40CD" w:rsidP="008F740E">
      <w:pPr>
        <w:pStyle w:val="ConsPlusNormal"/>
        <w:jc w:val="both"/>
        <w:rPr>
          <w:szCs w:val="28"/>
        </w:rPr>
      </w:pPr>
      <w:r>
        <w:rPr>
          <w:szCs w:val="28"/>
        </w:rPr>
        <w:t xml:space="preserve">-  внедрение новых видов профилактических мероприятий, предусмотренных </w:t>
      </w:r>
      <w:r>
        <w:rPr>
          <w:szCs w:val="28"/>
          <w:lang w:eastAsia="ar-SA"/>
        </w:rPr>
        <w:t>Федеральным законом № 248-ФЗ и Постановлением № 990;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уменьшение административной нагрузки на контролируемых лиц;</w:t>
      </w:r>
    </w:p>
    <w:p w:rsidR="00BD40CD" w:rsidRDefault="00BD40CD" w:rsidP="00E9596E">
      <w:pPr>
        <w:pStyle w:val="ConsPlusNormal"/>
        <w:jc w:val="both"/>
        <w:rPr>
          <w:szCs w:val="28"/>
        </w:rPr>
      </w:pPr>
      <w:r>
        <w:rPr>
          <w:szCs w:val="28"/>
          <w:lang w:eastAsia="ar-SA"/>
        </w:rPr>
        <w:t>- повышение уровня правовой грамотности контролируемых лиц;</w:t>
      </w:r>
    </w:p>
    <w:p w:rsidR="00BD40CD" w:rsidRPr="00BD40CD" w:rsidRDefault="00BD40CD" w:rsidP="00E9596E">
      <w:pPr>
        <w:pStyle w:val="ConsPlusNormal"/>
        <w:jc w:val="both"/>
        <w:rPr>
          <w:szCs w:val="28"/>
          <w:lang w:eastAsia="ar-SA"/>
        </w:rPr>
      </w:pPr>
      <w:r>
        <w:rPr>
          <w:szCs w:val="28"/>
          <w:lang w:eastAsia="ar-SA"/>
        </w:rPr>
        <w:t>- мотивация контролируемых лиц к добросовестному поведению.</w:t>
      </w:r>
    </w:p>
    <w:p w:rsidR="00884C78" w:rsidRPr="000C1797" w:rsidRDefault="000C1797" w:rsidP="000C1797">
      <w:pPr>
        <w:pStyle w:val="ac"/>
        <w:numPr>
          <w:ilvl w:val="0"/>
          <w:numId w:val="8"/>
        </w:numPr>
        <w:shd w:val="clear" w:color="auto" w:fill="FFFFFF"/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Цели и задачи реализации программы профилактики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Профилактика рисков причинения вреда (ущерба) охраняемым законом </w:t>
      </w:r>
      <w:r w:rsidRPr="000C1797">
        <w:rPr>
          <w:rFonts w:ascii="Times New Roman" w:hAnsi="Times New Roman" w:cs="Times New Roman"/>
          <w:sz w:val="28"/>
          <w:szCs w:val="28"/>
        </w:rPr>
        <w:t xml:space="preserve">ценностям направлена на достижение следующих основных целей:       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стимулирование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добросовестного соблюдения обязательных требований всеми контролируемыми лицами;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устранение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84C78" w:rsidRPr="000C1797" w:rsidRDefault="00884C78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hAnsi="Times New Roman" w:cs="Times New Roman"/>
          <w:sz w:val="28"/>
          <w:szCs w:val="28"/>
        </w:rPr>
        <w:t>создание</w:t>
      </w:r>
      <w:proofErr w:type="gramEnd"/>
      <w:r w:rsidRPr="000C1797">
        <w:rPr>
          <w:rFonts w:ascii="Times New Roman" w:hAnsi="Times New Roman" w:cs="Times New Roman"/>
          <w:sz w:val="28"/>
          <w:szCs w:val="28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0C1797" w:rsidRPr="000C1797" w:rsidRDefault="000C1797" w:rsidP="00E9596E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C17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Основными задачами профилактических мероприятий являются: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одинакового понимания обязательных требований при осуществлении муниципального контроля в сфере автомобильного транспорта, городского наземного электрического транспорте и в дорожном хозяйстве в границах населенных пунктов Залучского сельского поселения;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профилактики нарушений обязательных требований путем активизации профилактической деятельности;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внедрение мер системы позитивной профилактики;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инвентаризация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оценка состава и особенностей подконтрольных субъектов и оценки состояния подконтрольной сферы;</w:t>
      </w:r>
    </w:p>
    <w:p w:rsidR="0091632F" w:rsidRPr="0091632F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зависимости видов, форм и интенсивности профилактических мероприятий от особенностей конкретных подконтрольных субъектов;</w:t>
      </w:r>
    </w:p>
    <w:p w:rsidR="00884C78" w:rsidRDefault="0091632F" w:rsidP="0091632F">
      <w:pPr>
        <w:shd w:val="clear" w:color="auto" w:fill="FFFFFF"/>
        <w:spacing w:before="195" w:after="0" w:line="240" w:lineRule="atLeast"/>
        <w:ind w:firstLine="851"/>
        <w:jc w:val="both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снижение</w:t>
      </w:r>
      <w:proofErr w:type="gramEnd"/>
      <w:r w:rsidRPr="009163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издержек контрольно-надзорной деятельности и административной нагрузки на подконтрольные субъекты.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0C1797" w:rsidRPr="000C1797" w:rsidRDefault="000C1797" w:rsidP="00E9596E">
      <w:pPr>
        <w:autoSpaceDE w:val="0"/>
        <w:autoSpaceDN w:val="0"/>
        <w:adjustRightInd w:val="0"/>
        <w:spacing w:after="0"/>
        <w:ind w:firstLine="567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Профилактические мероприятия планируются и осуществляются на основе соблюдения следующих базовых принципов: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>понятности</w:t>
      </w:r>
      <w:proofErr w:type="gramEnd"/>
      <w:r w:rsidRPr="000C1797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- представление информации об обязательных требованиях в простой, понятной, исчерпывающей форме (описание, пояснение, приведение примеров самих обязательных требований, указание нормативных правовых актов их содержащих и административных</w:t>
      </w:r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последствий за нарушение обязательных требований);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информационной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открытости – доступность для подконтрольных субъектов сведений об организации и осуществлении профилактических мероприятий (в том числе за счет использования информационно-коммуникационных технологий);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вовлеченности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обеспечение включения подконтрольных субъектов посредством различных каналов и инструментов обратной связи в процесс взаимодействия по поводу предмета профилактических мероприятий, их качества и результативности;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полноты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охвата – включение в программу профилактических мероприятий максимального числа подконтрольных субъектов;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обязательности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обязательное проведение профилактических мероприятий по установленным видам контроля (надзора) на регулярной и системной основе;</w:t>
      </w:r>
    </w:p>
    <w:p w:rsidR="000C1797" w:rsidRP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актуальности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регулярный анализ и обновление программы профилактических мероприятий, использование актуальных достижений науки и технологий при их проведении;</w:t>
      </w:r>
    </w:p>
    <w:p w:rsidR="000C1797" w:rsidRDefault="000C1797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0C1797">
        <w:rPr>
          <w:rFonts w:ascii="Times New Roman" w:eastAsia="Calibri" w:hAnsi="Times New Roman" w:cs="Times New Roman"/>
          <w:sz w:val="28"/>
          <w:szCs w:val="28"/>
        </w:rPr>
        <w:t>релевантности</w:t>
      </w:r>
      <w:proofErr w:type="gramEnd"/>
      <w:r w:rsidRPr="000C1797">
        <w:rPr>
          <w:rFonts w:ascii="Times New Roman" w:eastAsia="Calibri" w:hAnsi="Times New Roman" w:cs="Times New Roman"/>
          <w:sz w:val="28"/>
          <w:szCs w:val="28"/>
        </w:rPr>
        <w:t xml:space="preserve"> – выбор набора видов и форм профилактических мероприятий, учитывающий особенности подконтрольных субъектов.</w:t>
      </w:r>
    </w:p>
    <w:p w:rsidR="0091632F" w:rsidRPr="000C1797" w:rsidRDefault="0091632F" w:rsidP="000C1797">
      <w:pPr>
        <w:autoSpaceDE w:val="0"/>
        <w:autoSpaceDN w:val="0"/>
        <w:adjustRightInd w:val="0"/>
        <w:spacing w:after="0"/>
        <w:ind w:firstLine="851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1632F" w:rsidRPr="0091632F" w:rsidRDefault="0091632F" w:rsidP="0091632F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1632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p w:rsidR="0091632F" w:rsidRPr="0091632F" w:rsidRDefault="0091632F" w:rsidP="0091632F">
      <w:pPr>
        <w:spacing w:after="0"/>
        <w:ind w:left="1080"/>
        <w:contextualSpacing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11"/>
        <w:tblW w:w="1017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706"/>
        <w:gridCol w:w="2369"/>
        <w:gridCol w:w="2388"/>
        <w:gridCol w:w="2715"/>
      </w:tblGrid>
      <w:tr w:rsidR="0091632F" w:rsidRPr="0091632F" w:rsidTr="003A3D68">
        <w:trPr>
          <w:trHeight w:val="1554"/>
        </w:trPr>
        <w:tc>
          <w:tcPr>
            <w:tcW w:w="2706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Виды профилактических мероприятий*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Ответственный исполнитель (структурное подразделение и /или должностные лица)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Периодичность проведения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91632F" w:rsidRPr="0091632F" w:rsidRDefault="0091632F" w:rsidP="0091632F">
            <w:pPr>
              <w:shd w:val="clear" w:color="auto" w:fill="FFFFFF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b/>
                <w:sz w:val="26"/>
                <w:szCs w:val="26"/>
              </w:rPr>
              <w:t>Способы проведения мероприятия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Информирование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На постоянной основе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Размещение и актуализация на официальном сайте сельского поселения в сети «Интернет» сведений, предусмотренных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</w:t>
            </w: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реже одного раза в год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подготовки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доклада о правоприменительной практике, содержащего результаты обобщения правоприменительной практики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Объявление предостережения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gramEnd"/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 позднее 30 дней со дня получения сведений, указанных в части 1 статьи 49 Федерального закона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715" w:type="dxa"/>
            <w:shd w:val="clear" w:color="auto" w:fill="auto"/>
          </w:tcPr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 xml:space="preserve">Посредством </w:t>
            </w:r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объявления контролируемому лицу предостережения </w:t>
            </w:r>
          </w:p>
          <w:p w:rsidR="00E9596E" w:rsidRPr="0091632F" w:rsidRDefault="00E9596E" w:rsidP="00E9596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91632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недопустимости нарушения обязательных требований</w:t>
            </w:r>
          </w:p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9596E" w:rsidRPr="0091632F" w:rsidTr="003A3D68">
        <w:tc>
          <w:tcPr>
            <w:tcW w:w="2706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6"/>
                <w:szCs w:val="26"/>
              </w:rPr>
            </w:pPr>
            <w:r w:rsidRPr="0091632F">
              <w:rPr>
                <w:rFonts w:ascii="Times New Roman" w:hAnsi="Times New Roman" w:cs="Times New Roman"/>
                <w:sz w:val="26"/>
                <w:szCs w:val="26"/>
              </w:rPr>
              <w:t>Консультирование</w:t>
            </w:r>
          </w:p>
        </w:tc>
        <w:tc>
          <w:tcPr>
            <w:tcW w:w="2369" w:type="dxa"/>
            <w:shd w:val="clear" w:color="auto" w:fill="auto"/>
            <w:vAlign w:val="center"/>
          </w:tcPr>
          <w:p w:rsidR="00E9596E" w:rsidRPr="00E9596E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E9596E">
              <w:rPr>
                <w:rFonts w:ascii="Times New Roman" w:hAnsi="Times New Roman" w:cs="Times New Roman"/>
                <w:sz w:val="24"/>
                <w:szCs w:val="24"/>
              </w:rPr>
              <w:t>Заместитель Главы администрации</w:t>
            </w:r>
          </w:p>
        </w:tc>
        <w:tc>
          <w:tcPr>
            <w:tcW w:w="2388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По обращениям контролируемых лиц и их уполномоченных представителей</w:t>
            </w:r>
          </w:p>
        </w:tc>
        <w:tc>
          <w:tcPr>
            <w:tcW w:w="2715" w:type="dxa"/>
            <w:shd w:val="clear" w:color="auto" w:fill="auto"/>
            <w:vAlign w:val="center"/>
          </w:tcPr>
          <w:p w:rsidR="00E9596E" w:rsidRPr="0091632F" w:rsidRDefault="00E9596E" w:rsidP="00E9596E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91632F">
              <w:rPr>
                <w:rFonts w:ascii="Times New Roman" w:hAnsi="Times New Roman" w:cs="Times New Roman"/>
                <w:sz w:val="24"/>
                <w:szCs w:val="24"/>
              </w:rPr>
              <w:t>При личном обращении (по графику), посредством телефонной связи, электронной почты, видео-конференц-связи</w:t>
            </w:r>
          </w:p>
        </w:tc>
      </w:tr>
    </w:tbl>
    <w:p w:rsidR="000C1797" w:rsidRPr="003044FC" w:rsidRDefault="000C1797" w:rsidP="00884C78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D63F0" w:rsidRPr="005A2D1F" w:rsidRDefault="00ED63F0" w:rsidP="00ED63F0">
      <w:pPr>
        <w:numPr>
          <w:ilvl w:val="0"/>
          <w:numId w:val="1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A2D1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результативности и эффективности программы профилактики</w:t>
      </w:r>
    </w:p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2"/>
        <w:gridCol w:w="4395"/>
        <w:gridCol w:w="2126"/>
        <w:gridCol w:w="2410"/>
      </w:tblGrid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gramStart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п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4395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Наименование показателя</w:t>
            </w:r>
          </w:p>
        </w:tc>
        <w:tc>
          <w:tcPr>
            <w:tcW w:w="2126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202</w:t>
            </w:r>
            <w:r w:rsidR="005A2D1F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1</w:t>
            </w: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 год</w:t>
            </w:r>
          </w:p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базовый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абсолютный показатель)</w:t>
            </w:r>
          </w:p>
        </w:tc>
        <w:tc>
          <w:tcPr>
            <w:tcW w:w="2410" w:type="dxa"/>
          </w:tcPr>
          <w:p w:rsidR="00ED63F0" w:rsidRPr="00ED63F0" w:rsidRDefault="00ED63F0" w:rsidP="00F81D7D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Целевое значение 202</w:t>
            </w: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5 </w:t>
            </w:r>
            <w:r w:rsidRPr="00ED63F0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год, 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Увеличение количества </w:t>
            </w:r>
            <w:proofErr w:type="gramStart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консультаций  по</w:t>
            </w:r>
            <w:proofErr w:type="gramEnd"/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разъяснению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Полнота информации, размещенной на официальном сайте наименование контрольно-надзорного органа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количества выданных предостережений о недопустимости нарушения обязательных требований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4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доли организаций, в отношении которых проведены профилактические мероприятия к общему количеству организаций, в отношении которых проведены контрольно-надзорные мероприятия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30%</w:t>
            </w:r>
          </w:p>
        </w:tc>
      </w:tr>
      <w:tr w:rsidR="00ED63F0" w:rsidRPr="00ED63F0" w:rsidTr="003A3D68">
        <w:tc>
          <w:tcPr>
            <w:tcW w:w="562" w:type="dxa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val="en-US" w:eastAsia="ru-RU"/>
              </w:rPr>
              <w:t>5</w:t>
            </w: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. </w:t>
            </w:r>
          </w:p>
        </w:tc>
        <w:tc>
          <w:tcPr>
            <w:tcW w:w="4395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Увеличение общего количества проведенных профилактических мероприятий</w:t>
            </w:r>
          </w:p>
        </w:tc>
        <w:tc>
          <w:tcPr>
            <w:tcW w:w="2126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</w:p>
        </w:tc>
        <w:tc>
          <w:tcPr>
            <w:tcW w:w="2410" w:type="dxa"/>
            <w:vAlign w:val="center"/>
          </w:tcPr>
          <w:p w:rsidR="00ED63F0" w:rsidRPr="00ED63F0" w:rsidRDefault="00ED63F0" w:rsidP="00ED63F0">
            <w:pPr>
              <w:widowControl w:val="0"/>
              <w:shd w:val="clear" w:color="auto" w:fill="FFFFFF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ED63F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50%</w:t>
            </w:r>
          </w:p>
        </w:tc>
      </w:tr>
    </w:tbl>
    <w:p w:rsidR="00ED63F0" w:rsidRPr="00ED63F0" w:rsidRDefault="00ED63F0" w:rsidP="00ED63F0">
      <w:pPr>
        <w:spacing w:after="0"/>
        <w:rPr>
          <w:rFonts w:ascii="Times New Roman" w:eastAsia="Calibri" w:hAnsi="Times New Roman" w:cs="Times New Roman"/>
          <w:color w:val="000000"/>
          <w:sz w:val="28"/>
        </w:rPr>
      </w:pP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Реализация Программы осуществляется путем исполнения организационных и профилактических мероприятий в соответствии с Планом</w:t>
      </w:r>
      <w:r w:rsidR="00951B7B" w:rsidRPr="00951B7B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мероприятий по профилактике нарушений при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г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F70B88" w:rsidRPr="00F70B88" w:rsidRDefault="00F70B88" w:rsidP="00FD7DD4">
      <w:pPr>
        <w:shd w:val="clear" w:color="auto" w:fill="FFFFFF"/>
        <w:spacing w:before="195" w:after="0" w:line="240" w:lineRule="atLeast"/>
        <w:ind w:firstLine="567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F70B88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Результаты профилактической работы включаются в Доклад об осуществлении муниципального контроля 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 автомобильном транспорте, городском наземном электрическом транспорте и в дорожном хозяйстве в границах населенных пунктов Залучского сельского поселения Старорусского муниципального района Новгородской области на 202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г</w:t>
      </w:r>
      <w:r w:rsidRPr="00F70B8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од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3044FC" w:rsidRPr="003044FC" w:rsidRDefault="003044FC" w:rsidP="00F70B88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044FC" w:rsidRPr="003044FC" w:rsidRDefault="003044FC" w:rsidP="00884C78">
      <w:pPr>
        <w:spacing w:before="195" w:after="0" w:line="240" w:lineRule="atLeast"/>
        <w:jc w:val="center"/>
        <w:textAlignment w:val="top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3044FC" w:rsidRPr="003044FC" w:rsidSect="00FD7DD4">
          <w:headerReference w:type="default" r:id="rId8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512ED0" w:rsidRPr="00512ED0" w:rsidRDefault="00512ED0" w:rsidP="00512ED0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10101"/>
          <w:lang w:eastAsia="ru-RU"/>
        </w:rPr>
      </w:pP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Приложение к Программе профилактики рисков причинения вреда (ущерба)</w:t>
      </w:r>
      <w:r w:rsidRPr="00512ED0">
        <w:rPr>
          <w:rFonts w:ascii="Times New Roman" w:eastAsia="Times New Roman" w:hAnsi="Times New Roman" w:cs="Times New Roman"/>
          <w:color w:val="010101"/>
          <w:lang w:eastAsia="ru-RU"/>
        </w:rPr>
        <w:br/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>охраняемым законом ценностям на 202</w:t>
      </w:r>
      <w:r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 xml:space="preserve">5</w:t>
      </w:r>
      <w:r w:rsidRPr="00512ED0">
        <w:rPr>
          <w:rFonts w:ascii="Times New Roman" w:eastAsia="Times New Roman" w:hAnsi="Times New Roman" w:cs="Times New Roman"/>
          <w:bCs/>
          <w:iCs/>
          <w:color w:val="010101"/>
          <w:lang w:eastAsia="ru-RU"/>
        </w:rPr>
        <w:t xml:space="preserve"> год</w:t>
      </w:r>
    </w:p>
    <w:p w:rsid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12ED0" w:rsidRPr="00512ED0" w:rsidRDefault="00512ED0" w:rsidP="00512ED0">
      <w:pPr>
        <w:shd w:val="clear" w:color="auto" w:fill="FFFFFF"/>
        <w:spacing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884C78" w:rsidRPr="003044F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2ED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План мероприятий по профилактике нарушений законодательства в сфере 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муниципального контроля на автомобильном транспорте, городском наземном электрическом транспорте и в дорожном хозяйстве в границах населенных пунктов Залучского  сельского поселения Старорусского муниципального района Новгородской области на 202</w:t>
      </w:r>
      <w:bookmarkStart w:id="0" w:name="_GoBack"/>
      <w:bookmarkEnd w:id="0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5 </w:t>
      </w:r>
      <w:r w:rsidRPr="00512ED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год</w:t>
      </w:r>
    </w:p>
    <w:tbl>
      <w:tblPr>
        <w:tblW w:w="15049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2822"/>
        <w:gridCol w:w="7343"/>
        <w:gridCol w:w="2542"/>
        <w:gridCol w:w="1519"/>
      </w:tblGrid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№</w:t>
            </w:r>
          </w:p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proofErr w:type="gramStart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</w:t>
            </w:r>
            <w:proofErr w:type="gramEnd"/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Сведения о мероприятии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Ответственный исполнитель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951B7B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951B7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 исполнения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Информирование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сведений, определенных частью 3 статьи 46 Федерального закона № 248-ФЗ, на своем официальном сайте в сети «Интернет», в средствах массовой информации, через личные кабинеты контролируемых лиц в государственных информационных системах (при их наличии) и в иных формах.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Обобщение правоприменительной практики организации и проведения муниципального контроля осуществляется ежегодно.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обобщения правоприменительной практики Контрольный орган обеспечивает подготовку доклада с результатами обобщения правоприменительной практики Контрольного органа (далее – доклад).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обеспечивает публичное обсуждение проекта доклада.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Доклад утверждается руководителем Контрольного органа и размещается на официальном сайте ежегодно не позднее 30 января года, следующего за годом обобщения правоприменительной практики.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раз в год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Объявление предостережения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объявляет контролируемому лицу предостережение о недопустимости нарушения обязательных требований (далее – предостережение) при наличии сведений о готовящихся нарушениях обязательных требований или признаках нарушений обязательных требований и (или)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ценностям, и предлагает принять меры по обеспечению соблюдения обязательных требований.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Предостережение составляется по форме, утвержденной приказом Минэкономразвития России от 31.03.2021 № 151 «О типовых формах документов, используемых контрольным (надзорным) органом».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случае необходимости в подтверждение своих доводов контролируемое лицо прилагает к возражению соответствующие документы либо их заверенные копии.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рассматривает возражение в отношении предостережения в течение пятнадцати рабочих дней со дня его получения.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Повторное направление возражения по тем же основаниям не допускается.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Консультирование контролируемых лиц и их представителей осуществляется по вопросам, связанным с организацией и осуществлением муниципального контроля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Инспекторы осуществляют консультирование контролируемых лиц и их представителей: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в виде устных разъяснений по телефону, посредством видео-конференц-связи, на личном приеме либо в ходе проведения профилактического мероприятия, контрольного мероприятия;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посредством размещения на официальном сайте письменного разъяснения по однотипным обращениям (более 10 однотипных обращений) контролируемых лиц и их представителей, подписанного уполномоченным должностным лицом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Индивидуальное консультирование на личном приеме каждого заявителя инспекторами не может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разговора по телефону не должно превышать 10 минут.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не предоставляет контролируемым лицам и их представителям в письменной форме информацию по вопросам устного консультирования.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Письменное консультирование контролируемых лиц и их представителей осуществляется по следующим вопросам: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порядка проведения контрольных мероприятий;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порядок обжалования решений Контрольного органа.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направить запрос о предоставлении письменного ответа в сроки, установленные Федеральным законом от 02.05.2006 № 59-ФЗ «О порядке рассмотрения обращений граждан Российской Федерации».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консультирований.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  <w:tr w:rsidR="00884C78" w:rsidRPr="003044FC" w:rsidTr="00951B7B">
        <w:trPr>
          <w:jc w:val="center"/>
        </w:trPr>
        <w:tc>
          <w:tcPr>
            <w:tcW w:w="8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</w:t>
            </w:r>
          </w:p>
        </w:tc>
        <w:tc>
          <w:tcPr>
            <w:tcW w:w="73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Профилактический визит проводится инспектором в форме профилактической беседы по месту осуществления деятельности контролируемого лица либо путем использования видео-конференц-связи.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Продолжительность профилактического визита составляет не более двух часов в течение рабочего дня.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Инспектор проводит обязательный профилактический визит в отношении: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1) контролируемых лиц, приступающих к осуществлению деятельности в сфере 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pacing w:val="2"/>
                <w:sz w:val="28"/>
                <w:szCs w:val="28"/>
                <w:lang w:eastAsia="ru-RU"/>
              </w:rPr>
              <w:t>автомобильного транспорта, городского наземного электрического транспорта и в дорожного хозяйства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не позднее чем в течение одного года с момента начала такой деятельности (при наличии сведений о начале деятельности);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2) объектов контроля, отнесенных к категориям значительного риска, в срок не позднее одного года со дня принятия решения об отнесении объекта контроля к указанной категории.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Профилактические визиты проводятся по согласованию с контролируемыми лицами.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направляет контролируемому лицу уведомление о проведении профилактического визита не позднее чем за пять рабочих дней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Контролируемое лицо вправе отказаться от проведения профилактического визита (включая обязательный профилактический визит), уведомив об этом Контрольный орган не позднее, чем за три рабочих дня до даты его проведения.</w:t>
            </w:r>
          </w:p>
          <w:p w:rsidR="00884C78" w:rsidRPr="003044FC" w:rsidRDefault="00884C78" w:rsidP="00884C78">
            <w:pPr>
              <w:spacing w:before="195" w:after="0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 итогам профилактического визита инспектор составляет акт о проведении профилактического визита, форма которого утверждается Контрольным органом.</w:t>
            </w:r>
          </w:p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Контрольный орган осуществляет учет проведенных профилактических визитов.</w:t>
            </w:r>
          </w:p>
        </w:tc>
        <w:tc>
          <w:tcPr>
            <w:tcW w:w="2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специалист администрации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Залуч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сельского поселения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Старорус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ского муниципального района </w:t>
            </w:r>
            <w:r w:rsidR="00C94315"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Новгород</w:t>
            </w: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ской области</w:t>
            </w:r>
          </w:p>
        </w:tc>
        <w:tc>
          <w:tcPr>
            <w:tcW w:w="15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84C78" w:rsidRPr="003044FC" w:rsidRDefault="00884C78" w:rsidP="00884C78">
            <w:pPr>
              <w:spacing w:before="195" w:after="195" w:line="341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044F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</w:tr>
    </w:tbl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  <w:sectPr w:rsidR="003044FC" w:rsidSect="003044FC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3044FC" w:rsidRDefault="003044FC" w:rsidP="00884C78">
      <w:pPr>
        <w:shd w:val="clear" w:color="auto" w:fill="FFFFFF"/>
        <w:spacing w:before="195" w:after="0" w:line="240" w:lineRule="atLeast"/>
        <w:ind w:firstLine="567"/>
        <w:jc w:val="center"/>
        <w:textAlignment w:val="top"/>
        <w:rPr>
          <w:rFonts w:ascii="Verdana" w:eastAsia="Times New Roman" w:hAnsi="Verdana" w:cs="Arial"/>
          <w:color w:val="000000"/>
          <w:sz w:val="24"/>
          <w:szCs w:val="24"/>
          <w:lang w:eastAsia="ru-RU"/>
        </w:rPr>
      </w:pPr>
    </w:p>
    <w:p w:rsidR="00884C78" w:rsidRPr="003044FC" w:rsidRDefault="00512ED0" w:rsidP="00884C78">
      <w:pPr>
        <w:spacing w:before="195" w:after="0" w:line="240" w:lineRule="atLeast"/>
        <w:ind w:firstLine="539"/>
        <w:jc w:val="both"/>
        <w:textAlignment w:val="top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sectPr w:rsidR="00884C78" w:rsidRPr="003044FC" w:rsidSect="003044FC">
      <w:pgSz w:w="11906" w:h="16838"/>
      <w:pgMar w:top="851" w:right="567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DE0" w:rsidRDefault="00C63DE0">
      <w:pPr>
        <w:spacing w:after="0" w:line="240" w:lineRule="auto"/>
      </w:pPr>
      <w:r>
        <w:separator/>
      </w:r>
    </w:p>
  </w:endnote>
  <w:endnote w:type="continuationSeparator" w:id="0">
    <w:p w:rsidR="00C63DE0" w:rsidRDefault="00C63D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DE0" w:rsidRDefault="00C63DE0">
      <w:pPr>
        <w:spacing w:after="0" w:line="240" w:lineRule="auto"/>
      </w:pPr>
      <w:r>
        <w:separator/>
      </w:r>
    </w:p>
  </w:footnote>
  <w:footnote w:type="continuationSeparator" w:id="0">
    <w:p w:rsidR="00C63DE0" w:rsidRDefault="00C63D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004045129"/>
      <w:docPartObj>
        <w:docPartGallery w:val="Page Numbers (Top of Page)"/>
        <w:docPartUnique/>
      </w:docPartObj>
    </w:sdtPr>
    <w:sdtEndPr/>
    <w:sdtContent>
      <w:p w:rsidR="00B62434" w:rsidRDefault="00C63DE0">
        <w:pPr>
          <w:pStyle w:val="a7"/>
          <w:jc w:val="center"/>
        </w:pPr>
      </w:p>
    </w:sdtContent>
  </w:sdt>
  <w:p w:rsidR="00B62434" w:rsidRDefault="00C63DE0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">
    <w:nsid w:val="04B658E4"/>
    <w:multiLevelType w:val="multilevel"/>
    <w:tmpl w:val="BFE06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6D4A0B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1D21EE5"/>
    <w:multiLevelType w:val="hybridMultilevel"/>
    <w:tmpl w:val="428C79F4"/>
    <w:lvl w:ilvl="0" w:tplc="83A8644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5B46AC"/>
    <w:multiLevelType w:val="hybridMultilevel"/>
    <w:tmpl w:val="25C6890C"/>
    <w:lvl w:ilvl="0" w:tplc="4EC2F77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2D57201D"/>
    <w:multiLevelType w:val="hybridMultilevel"/>
    <w:tmpl w:val="29A0270E"/>
    <w:lvl w:ilvl="0" w:tplc="04190013">
      <w:start w:val="1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F545A4C"/>
    <w:multiLevelType w:val="multilevel"/>
    <w:tmpl w:val="C9F0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>
    <w:nsid w:val="3DC57087"/>
    <w:multiLevelType w:val="hybridMultilevel"/>
    <w:tmpl w:val="C9CE8A7C"/>
    <w:lvl w:ilvl="0" w:tplc="B0205D96">
      <w:start w:val="1"/>
      <w:numFmt w:val="decimal"/>
      <w:lvlText w:val="%1.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1464F58"/>
    <w:multiLevelType w:val="multilevel"/>
    <w:tmpl w:val="41464F58"/>
    <w:lvl w:ilvl="0">
      <w:start w:val="1"/>
      <w:numFmt w:val="decimal"/>
      <w:lvlText w:val="%1."/>
      <w:lvlJc w:val="left"/>
      <w:pPr>
        <w:ind w:left="705" w:hanging="705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0">
    <w:nsid w:val="423121E7"/>
    <w:multiLevelType w:val="hybridMultilevel"/>
    <w:tmpl w:val="8AAEC5BE"/>
    <w:lvl w:ilvl="0" w:tplc="04190013">
      <w:start w:val="1"/>
      <w:numFmt w:val="upperRoman"/>
      <w:lvlText w:val="%1."/>
      <w:lvlJc w:val="righ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6BC5799"/>
    <w:multiLevelType w:val="hybridMultilevel"/>
    <w:tmpl w:val="697C4EB6"/>
    <w:lvl w:ilvl="0" w:tplc="2C4E1F4E">
      <w:start w:val="1"/>
      <w:numFmt w:val="upperRoman"/>
      <w:lvlText w:val="%1."/>
      <w:lvlJc w:val="right"/>
      <w:pPr>
        <w:ind w:left="1429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5671753C"/>
    <w:multiLevelType w:val="multilevel"/>
    <w:tmpl w:val="90C2C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F41A09"/>
    <w:multiLevelType w:val="hybridMultilevel"/>
    <w:tmpl w:val="AD90E8AE"/>
    <w:lvl w:ilvl="0" w:tplc="C0D413C4">
      <w:start w:val="3"/>
      <w:numFmt w:val="upperRoman"/>
      <w:lvlText w:val="%1."/>
      <w:lvlJc w:val="righ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57C07DF"/>
    <w:multiLevelType w:val="multilevel"/>
    <w:tmpl w:val="5CB899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DB4530E"/>
    <w:multiLevelType w:val="hybridMultilevel"/>
    <w:tmpl w:val="7E32C530"/>
    <w:lvl w:ilvl="0" w:tplc="D1BE10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E587FD2"/>
    <w:multiLevelType w:val="hybridMultilevel"/>
    <w:tmpl w:val="2EA4928E"/>
    <w:lvl w:ilvl="0" w:tplc="634CB674">
      <w:start w:val="1"/>
      <w:numFmt w:val="upperRoman"/>
      <w:lvlText w:val="%1."/>
      <w:lvlJc w:val="left"/>
      <w:pPr>
        <w:ind w:left="1429" w:hanging="72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72" w:hanging="360"/>
      </w:pPr>
    </w:lvl>
    <w:lvl w:ilvl="2" w:tplc="0419001B" w:tentative="1">
      <w:start w:val="1"/>
      <w:numFmt w:val="lowerRoman"/>
      <w:lvlText w:val="%3."/>
      <w:lvlJc w:val="right"/>
      <w:pPr>
        <w:ind w:left="1692" w:hanging="180"/>
      </w:pPr>
    </w:lvl>
    <w:lvl w:ilvl="3" w:tplc="0419000F" w:tentative="1">
      <w:start w:val="1"/>
      <w:numFmt w:val="decimal"/>
      <w:lvlText w:val="%4."/>
      <w:lvlJc w:val="left"/>
      <w:pPr>
        <w:ind w:left="2412" w:hanging="360"/>
      </w:pPr>
    </w:lvl>
    <w:lvl w:ilvl="4" w:tplc="04190019" w:tentative="1">
      <w:start w:val="1"/>
      <w:numFmt w:val="lowerLetter"/>
      <w:lvlText w:val="%5."/>
      <w:lvlJc w:val="left"/>
      <w:pPr>
        <w:ind w:left="3132" w:hanging="360"/>
      </w:pPr>
    </w:lvl>
    <w:lvl w:ilvl="5" w:tplc="0419001B" w:tentative="1">
      <w:start w:val="1"/>
      <w:numFmt w:val="lowerRoman"/>
      <w:lvlText w:val="%6."/>
      <w:lvlJc w:val="right"/>
      <w:pPr>
        <w:ind w:left="3852" w:hanging="180"/>
      </w:pPr>
    </w:lvl>
    <w:lvl w:ilvl="6" w:tplc="0419000F" w:tentative="1">
      <w:start w:val="1"/>
      <w:numFmt w:val="decimal"/>
      <w:lvlText w:val="%7."/>
      <w:lvlJc w:val="left"/>
      <w:pPr>
        <w:ind w:left="4572" w:hanging="360"/>
      </w:pPr>
    </w:lvl>
    <w:lvl w:ilvl="7" w:tplc="04190019" w:tentative="1">
      <w:start w:val="1"/>
      <w:numFmt w:val="lowerLetter"/>
      <w:lvlText w:val="%8."/>
      <w:lvlJc w:val="left"/>
      <w:pPr>
        <w:ind w:left="5292" w:hanging="360"/>
      </w:pPr>
    </w:lvl>
    <w:lvl w:ilvl="8" w:tplc="0419001B" w:tentative="1">
      <w:start w:val="1"/>
      <w:numFmt w:val="lowerRoman"/>
      <w:lvlText w:val="%9."/>
      <w:lvlJc w:val="right"/>
      <w:pPr>
        <w:ind w:left="6012" w:hanging="180"/>
      </w:pPr>
    </w:lvl>
  </w:abstractNum>
  <w:num w:numId="1">
    <w:abstractNumId w:val="14"/>
  </w:num>
  <w:num w:numId="2">
    <w:abstractNumId w:val="1"/>
  </w:num>
  <w:num w:numId="3">
    <w:abstractNumId w:val="12"/>
  </w:num>
  <w:num w:numId="4">
    <w:abstractNumId w:val="6"/>
  </w:num>
  <w:num w:numId="5">
    <w:abstractNumId w:val="17"/>
  </w:num>
  <w:num w:numId="6">
    <w:abstractNumId w:val="7"/>
  </w:num>
  <w:num w:numId="7">
    <w:abstractNumId w:val="0"/>
  </w:num>
  <w:num w:numId="8">
    <w:abstractNumId w:val="11"/>
  </w:num>
  <w:num w:numId="9">
    <w:abstractNumId w:val="16"/>
  </w:num>
  <w:num w:numId="10">
    <w:abstractNumId w:val="10"/>
  </w:num>
  <w:num w:numId="11">
    <w:abstractNumId w:val="4"/>
  </w:num>
  <w:num w:numId="12">
    <w:abstractNumId w:val="2"/>
  </w:num>
  <w:num w:numId="13">
    <w:abstractNumId w:val="3"/>
  </w:num>
  <w:num w:numId="14">
    <w:abstractNumId w:val="15"/>
  </w:num>
  <w:num w:numId="15">
    <w:abstractNumId w:val="5"/>
  </w:num>
  <w:num w:numId="16">
    <w:abstractNumId w:val="13"/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4C78"/>
    <w:rsid w:val="000C1797"/>
    <w:rsid w:val="00172D30"/>
    <w:rsid w:val="001D1724"/>
    <w:rsid w:val="001D3B1A"/>
    <w:rsid w:val="003044FC"/>
    <w:rsid w:val="00315846"/>
    <w:rsid w:val="00316E2D"/>
    <w:rsid w:val="003C7AA6"/>
    <w:rsid w:val="00512ED0"/>
    <w:rsid w:val="00580A52"/>
    <w:rsid w:val="005A2D1F"/>
    <w:rsid w:val="006131CA"/>
    <w:rsid w:val="006F0A85"/>
    <w:rsid w:val="0075767E"/>
    <w:rsid w:val="00884C78"/>
    <w:rsid w:val="008F740E"/>
    <w:rsid w:val="0090240A"/>
    <w:rsid w:val="0091632F"/>
    <w:rsid w:val="00951B7B"/>
    <w:rsid w:val="00BD40CD"/>
    <w:rsid w:val="00C63DE0"/>
    <w:rsid w:val="00C94315"/>
    <w:rsid w:val="00CF177B"/>
    <w:rsid w:val="00D843AC"/>
    <w:rsid w:val="00E9596E"/>
    <w:rsid w:val="00ED63F0"/>
    <w:rsid w:val="00F312A3"/>
    <w:rsid w:val="00F47A15"/>
    <w:rsid w:val="00F612B5"/>
    <w:rsid w:val="00F70B88"/>
    <w:rsid w:val="00F81D7D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B7BDDF-0E86-4D4E-8AAE-341C9892BD05}"/>
  <w:trackRevisions w:val="fals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F0A85"/>
  </w:style>
  <w:style w:type="paragraph" w:styleId="3">
    <w:name w:val="heading 3"/>
    <w:basedOn w:val="a"/>
    <w:link w:val="30"/>
    <w:uiPriority w:val="9"/>
    <w:qFormat/>
    <w:rsid w:val="00884C7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84C7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84C78"/>
    <w:rPr>
      <w:color w:val="0000FF"/>
      <w:u w:val="single"/>
    </w:rPr>
  </w:style>
  <w:style w:type="paragraph" w:customStyle="1" w:styleId="art-page-footer">
    <w:name w:val="art-page-footer"/>
    <w:basedOn w:val="a"/>
    <w:rsid w:val="00884C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84C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84C78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F70B88"/>
    <w:pPr>
      <w:tabs>
        <w:tab w:val="center" w:pos="4677"/>
        <w:tab w:val="right" w:pos="9355"/>
      </w:tabs>
      <w:spacing w:after="0" w:line="240" w:lineRule="auto"/>
      <w:ind w:firstLine="709"/>
    </w:pPr>
    <w:rPr>
      <w:rFonts w:ascii="Times New Roman" w:hAnsi="Times New Roman" w:cs="Times New Roman"/>
      <w:sz w:val="28"/>
    </w:rPr>
  </w:style>
  <w:style w:type="character" w:customStyle="1" w:styleId="a8">
    <w:name w:val="Верхний колонтитул Знак"/>
    <w:basedOn w:val="a0"/>
    <w:link w:val="a7"/>
    <w:uiPriority w:val="99"/>
    <w:rsid w:val="00F70B88"/>
    <w:rPr>
      <w:rFonts w:ascii="Times New Roman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FD7D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D7DD4"/>
  </w:style>
  <w:style w:type="table" w:customStyle="1" w:styleId="1">
    <w:name w:val="Сетка таблицы1"/>
    <w:basedOn w:val="a1"/>
    <w:next w:val="ab"/>
    <w:rsid w:val="00F312A3"/>
    <w:pPr>
      <w:spacing w:after="0" w:line="240" w:lineRule="auto"/>
    </w:pPr>
    <w:rPr>
      <w:rFonts w:eastAsia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b">
    <w:name w:val="Table Grid"/>
    <w:basedOn w:val="a1"/>
    <w:uiPriority w:val="59"/>
    <w:rsid w:val="00F312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link w:val="ad"/>
    <w:qFormat/>
    <w:rsid w:val="000C1797"/>
    <w:pPr>
      <w:ind w:left="720"/>
      <w:contextualSpacing/>
    </w:pPr>
  </w:style>
  <w:style w:type="table" w:customStyle="1" w:styleId="11">
    <w:name w:val="Сетка таблицы11"/>
    <w:basedOn w:val="a1"/>
    <w:next w:val="ab"/>
    <w:uiPriority w:val="59"/>
    <w:rsid w:val="009163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qFormat/>
    <w:rsid w:val="00BD40C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d">
    <w:name w:val="Абзац списка Знак"/>
    <w:link w:val="ac"/>
    <w:qFormat/>
    <w:locked/>
    <w:rsid w:val="00BD40CD"/>
  </w:style>
  <w:style w:type="paragraph" w:default="1" w:styleId="Normal">
    <w:name w:val="Normal"/>
    <w:qFormat/>
    <w:rsid w:val="00090451"/>
    <w:rPr>
      <w:sz w:val="24"/>
      <w:szCs w:val="24"/>
    </w:rPr>
  </w:style>
  <w:style w:type="paragraph" w:styleId="CommentText">
    <w:name w:val="annotation text"/>
    <w:basedOn w:val="Normal"/>
    <w:uiPriority w:val="99"/>
    <w:semiHidden/>
    <w:unhideWhenUsed/>
    <w:rsid w:val="00E338F3"/>
    <w:pPr>
      <w:spacing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87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0864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726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278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465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834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16511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502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58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862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9273475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2447081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815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616468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2632888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34282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6099262">
                          <w:marLeft w:val="45"/>
                          <w:marRight w:val="45"/>
                          <w:marTop w:val="45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1888604">
                              <w:marLeft w:val="0"/>
                              <w:marRight w:val="0"/>
                              <w:marTop w:val="0"/>
                              <w:marBottom w:val="3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3824</Words>
  <Characters>21799</Characters>
  <Application>Microsoft Office Word</Application>
  <DocSecurity>0</DocSecurity>
  <Lines>181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</vt:i4>
      </vt:variant>
    </vt:vector>
  </HeadingPairs>
  <TitlesOfParts>
    <vt:vector size="3" baseType="lpstr">
      <vt:lpstr/>
      <vt:lpstr>    </vt:lpstr>
      <vt:lpstr>    План мероприятий по профилактике нарушений законодательства в сфере муниципал</vt:lpstr>
    </vt:vector>
  </TitlesOfParts>
  <Company>Reanimator Extreme Edition</Company>
  <LinksUpToDate>false</LinksUpToDate>
  <CharactersWithSpaces>25572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2023-09-26T13:44:00Z</dcterms:created>
  <dcterms:modified xsi:type="dcterms:W3CDTF">2023-09-26T13:44:00Z</dcterms:modified>
</cp:coreProperties>
</file>